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654" w:rsidRDefault="005C695A">
      <w:pPr>
        <w:jc w:val="center"/>
        <w:rPr>
          <w:rStyle w:val="title1"/>
          <w:rFonts w:eastAsia="方正小标宋简体"/>
          <w:bCs w:val="0"/>
          <w:color w:val="auto"/>
          <w:sz w:val="36"/>
          <w:szCs w:val="36"/>
        </w:rPr>
      </w:pPr>
      <w:r>
        <w:rPr>
          <w:rStyle w:val="title1"/>
          <w:rFonts w:eastAsia="方正小标宋简体"/>
          <w:b w:val="0"/>
          <w:color w:val="auto"/>
          <w:sz w:val="36"/>
          <w:szCs w:val="36"/>
        </w:rPr>
        <w:t>浙江省科学技术奖公示信息表</w:t>
      </w:r>
      <w:r>
        <w:rPr>
          <w:rStyle w:val="title1"/>
          <w:rFonts w:eastAsia="仿宋_GB2312"/>
          <w:b w:val="0"/>
          <w:color w:val="auto"/>
          <w:sz w:val="32"/>
          <w:szCs w:val="32"/>
        </w:rPr>
        <w:t>（单位提名）</w:t>
      </w:r>
    </w:p>
    <w:p w:rsidR="006E1654" w:rsidRDefault="005C695A">
      <w:pPr>
        <w:spacing w:line="440" w:lineRule="exact"/>
        <w:rPr>
          <w:rFonts w:eastAsia="仿宋_GB2312"/>
          <w:sz w:val="28"/>
          <w:szCs w:val="24"/>
        </w:rPr>
      </w:pPr>
      <w:r>
        <w:rPr>
          <w:rFonts w:eastAsia="仿宋_GB2312"/>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6E1654">
        <w:trPr>
          <w:trHeight w:val="90"/>
        </w:trPr>
        <w:tc>
          <w:tcPr>
            <w:tcW w:w="2269" w:type="dxa"/>
            <w:vAlign w:val="center"/>
          </w:tcPr>
          <w:p w:rsidR="006E1654" w:rsidRDefault="005C695A">
            <w:pPr>
              <w:jc w:val="center"/>
              <w:rPr>
                <w:rStyle w:val="title1"/>
                <w:rFonts w:eastAsia="仿宋_GB2312"/>
                <w:b w:val="0"/>
                <w:color w:val="auto"/>
                <w:sz w:val="28"/>
              </w:rPr>
            </w:pPr>
            <w:r>
              <w:rPr>
                <w:rStyle w:val="title1"/>
                <w:rFonts w:eastAsia="仿宋_GB2312"/>
                <w:b w:val="0"/>
                <w:bCs w:val="0"/>
                <w:color w:val="auto"/>
                <w:sz w:val="28"/>
              </w:rPr>
              <w:t>成果名称</w:t>
            </w:r>
          </w:p>
        </w:tc>
        <w:tc>
          <w:tcPr>
            <w:tcW w:w="6237" w:type="dxa"/>
            <w:vAlign w:val="center"/>
          </w:tcPr>
          <w:p w:rsidR="006E1654" w:rsidRDefault="005C695A">
            <w:pPr>
              <w:spacing w:after="0" w:line="240" w:lineRule="auto"/>
              <w:jc w:val="center"/>
              <w:rPr>
                <w:rStyle w:val="title1"/>
                <w:rFonts w:ascii="宋体" w:hAnsi="宋体" w:cs="宋体"/>
                <w:b w:val="0"/>
                <w:color w:val="auto"/>
              </w:rPr>
            </w:pPr>
            <w:r>
              <w:rPr>
                <w:rStyle w:val="title1"/>
                <w:rFonts w:ascii="宋体" w:hAnsi="宋体" w:cs="宋体"/>
                <w:b w:val="0"/>
                <w:color w:val="auto"/>
              </w:rPr>
              <w:t>民营企业参与</w:t>
            </w:r>
            <w:r>
              <w:rPr>
                <w:rStyle w:val="title1"/>
                <w:rFonts w:ascii="宋体" w:hAnsi="宋体" w:cs="宋体"/>
                <w:b w:val="0"/>
                <w:color w:val="auto"/>
              </w:rPr>
              <w:t>“</w:t>
            </w:r>
            <w:r>
              <w:rPr>
                <w:rStyle w:val="title1"/>
                <w:rFonts w:ascii="宋体" w:hAnsi="宋体" w:cs="宋体"/>
                <w:b w:val="0"/>
                <w:color w:val="auto"/>
              </w:rPr>
              <w:t>一带一路</w:t>
            </w:r>
            <w:r>
              <w:rPr>
                <w:rStyle w:val="title1"/>
                <w:rFonts w:ascii="宋体" w:hAnsi="宋体" w:cs="宋体"/>
                <w:b w:val="0"/>
                <w:color w:val="auto"/>
              </w:rPr>
              <w:t>”</w:t>
            </w:r>
            <w:r>
              <w:rPr>
                <w:rStyle w:val="title1"/>
                <w:rFonts w:ascii="宋体" w:hAnsi="宋体" w:cs="宋体"/>
                <w:b w:val="0"/>
                <w:color w:val="auto"/>
              </w:rPr>
              <w:t>国际产能合作战略体系构建与实践</w:t>
            </w:r>
          </w:p>
        </w:tc>
      </w:tr>
      <w:tr w:rsidR="006E1654">
        <w:trPr>
          <w:trHeight w:val="90"/>
        </w:trPr>
        <w:tc>
          <w:tcPr>
            <w:tcW w:w="2269" w:type="dxa"/>
            <w:vAlign w:val="center"/>
          </w:tcPr>
          <w:p w:rsidR="006E1654" w:rsidRDefault="005C695A">
            <w:pPr>
              <w:jc w:val="center"/>
              <w:rPr>
                <w:rStyle w:val="title1"/>
                <w:rFonts w:eastAsia="仿宋_GB2312"/>
                <w:b w:val="0"/>
                <w:color w:val="auto"/>
                <w:sz w:val="28"/>
              </w:rPr>
            </w:pPr>
            <w:r>
              <w:rPr>
                <w:rStyle w:val="title1"/>
                <w:rFonts w:eastAsia="仿宋_GB2312"/>
                <w:b w:val="0"/>
                <w:bCs w:val="0"/>
                <w:color w:val="auto"/>
                <w:sz w:val="28"/>
              </w:rPr>
              <w:t>提名等级</w:t>
            </w:r>
          </w:p>
        </w:tc>
        <w:tc>
          <w:tcPr>
            <w:tcW w:w="6237" w:type="dxa"/>
            <w:vAlign w:val="center"/>
          </w:tcPr>
          <w:p w:rsidR="006E1654" w:rsidRDefault="005C695A">
            <w:pPr>
              <w:spacing w:after="0" w:line="240" w:lineRule="auto"/>
              <w:jc w:val="center"/>
              <w:rPr>
                <w:rStyle w:val="title1"/>
                <w:rFonts w:ascii="宋体" w:hAnsi="宋体" w:cs="宋体"/>
                <w:b w:val="0"/>
                <w:color w:val="auto"/>
              </w:rPr>
            </w:pPr>
            <w:bookmarkStart w:id="0" w:name="_GoBack"/>
            <w:bookmarkEnd w:id="0"/>
            <w:r>
              <w:rPr>
                <w:rStyle w:val="title1"/>
                <w:rFonts w:ascii="宋体" w:hAnsi="宋体" w:cs="宋体" w:hint="eastAsia"/>
                <w:b w:val="0"/>
                <w:color w:val="auto"/>
              </w:rPr>
              <w:t>省科学技术进步奖二等奖</w:t>
            </w:r>
          </w:p>
        </w:tc>
      </w:tr>
      <w:tr w:rsidR="006E1654">
        <w:trPr>
          <w:trHeight w:val="696"/>
        </w:trPr>
        <w:tc>
          <w:tcPr>
            <w:tcW w:w="2269" w:type="dxa"/>
            <w:vAlign w:val="center"/>
          </w:tcPr>
          <w:p w:rsidR="006E1654" w:rsidRDefault="005C695A">
            <w:pPr>
              <w:spacing w:line="440" w:lineRule="exact"/>
              <w:jc w:val="center"/>
              <w:rPr>
                <w:rFonts w:eastAsia="仿宋_GB2312"/>
                <w:bCs/>
                <w:sz w:val="28"/>
                <w:szCs w:val="24"/>
              </w:rPr>
            </w:pPr>
            <w:r>
              <w:rPr>
                <w:rFonts w:eastAsia="仿宋_GB2312"/>
                <w:bCs/>
                <w:sz w:val="28"/>
                <w:szCs w:val="24"/>
              </w:rPr>
              <w:t>提名书</w:t>
            </w:r>
          </w:p>
          <w:p w:rsidR="006E1654" w:rsidRDefault="005C695A">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rsidR="006E1654" w:rsidRDefault="005C695A">
            <w:pPr>
              <w:numPr>
                <w:ilvl w:val="0"/>
                <w:numId w:val="1"/>
              </w:numPr>
              <w:spacing w:after="0" w:line="240" w:lineRule="auto"/>
              <w:rPr>
                <w:bCs/>
                <w:sz w:val="24"/>
                <w:szCs w:val="24"/>
              </w:rPr>
            </w:pPr>
            <w:r>
              <w:rPr>
                <w:b/>
                <w:sz w:val="24"/>
                <w:szCs w:val="24"/>
              </w:rPr>
              <w:t>陈衍泰</w:t>
            </w:r>
            <w:r>
              <w:rPr>
                <w:bCs/>
                <w:sz w:val="24"/>
                <w:szCs w:val="24"/>
              </w:rPr>
              <w:t>，谢在阳等，《民营企业参与</w:t>
            </w:r>
            <w:r>
              <w:rPr>
                <w:bCs/>
                <w:sz w:val="24"/>
                <w:szCs w:val="24"/>
              </w:rPr>
              <w:t>“</w:t>
            </w:r>
            <w:r>
              <w:rPr>
                <w:bCs/>
                <w:sz w:val="24"/>
                <w:szCs w:val="24"/>
              </w:rPr>
              <w:t>一带一路</w:t>
            </w:r>
            <w:r>
              <w:rPr>
                <w:bCs/>
                <w:sz w:val="24"/>
                <w:szCs w:val="24"/>
              </w:rPr>
              <w:t>“</w:t>
            </w:r>
            <w:r>
              <w:rPr>
                <w:bCs/>
                <w:sz w:val="24"/>
                <w:szCs w:val="24"/>
              </w:rPr>
              <w:t>国际产能合作案例》，科学出版社，</w:t>
            </w:r>
            <w:r>
              <w:rPr>
                <w:bCs/>
                <w:sz w:val="24"/>
                <w:szCs w:val="24"/>
              </w:rPr>
              <w:t>202</w:t>
            </w:r>
            <w:r>
              <w:rPr>
                <w:rFonts w:hint="eastAsia"/>
                <w:bCs/>
                <w:sz w:val="24"/>
                <w:szCs w:val="24"/>
              </w:rPr>
              <w:t>4.07</w:t>
            </w:r>
          </w:p>
          <w:p w:rsidR="006E1654" w:rsidRDefault="005C695A">
            <w:pPr>
              <w:numPr>
                <w:ilvl w:val="0"/>
                <w:numId w:val="1"/>
              </w:numPr>
              <w:spacing w:after="0" w:line="240" w:lineRule="auto"/>
              <w:rPr>
                <w:bCs/>
                <w:sz w:val="24"/>
                <w:szCs w:val="24"/>
              </w:rPr>
            </w:pPr>
            <w:r>
              <w:rPr>
                <w:b/>
                <w:sz w:val="24"/>
                <w:szCs w:val="24"/>
              </w:rPr>
              <w:t>陈衍泰</w:t>
            </w:r>
            <w:r>
              <w:rPr>
                <w:bCs/>
                <w:sz w:val="24"/>
                <w:szCs w:val="24"/>
              </w:rPr>
              <w:t>，刘璐等，《从生存型创业到开放式创新：改革开放</w:t>
            </w:r>
            <w:r>
              <w:rPr>
                <w:bCs/>
                <w:sz w:val="24"/>
                <w:szCs w:val="24"/>
              </w:rPr>
              <w:t>45</w:t>
            </w:r>
            <w:r>
              <w:rPr>
                <w:bCs/>
                <w:sz w:val="24"/>
                <w:szCs w:val="24"/>
              </w:rPr>
              <w:t>年以来的浙江民营企业转型》，浙江人民出版社，</w:t>
            </w:r>
            <w:r>
              <w:rPr>
                <w:bCs/>
                <w:sz w:val="24"/>
                <w:szCs w:val="24"/>
              </w:rPr>
              <w:t>2025.12</w:t>
            </w:r>
          </w:p>
          <w:p w:rsidR="006E1654" w:rsidRDefault="005C695A">
            <w:pPr>
              <w:numPr>
                <w:ilvl w:val="0"/>
                <w:numId w:val="1"/>
              </w:numPr>
              <w:spacing w:after="0" w:line="240" w:lineRule="auto"/>
              <w:rPr>
                <w:bCs/>
                <w:sz w:val="24"/>
                <w:szCs w:val="24"/>
              </w:rPr>
            </w:pPr>
            <w:r>
              <w:rPr>
                <w:b/>
                <w:sz w:val="24"/>
                <w:szCs w:val="24"/>
              </w:rPr>
              <w:t>陈衍泰</w:t>
            </w:r>
            <w:r>
              <w:rPr>
                <w:bCs/>
                <w:sz w:val="24"/>
                <w:szCs w:val="24"/>
              </w:rPr>
              <w:t>,</w:t>
            </w:r>
            <w:r>
              <w:rPr>
                <w:bCs/>
                <w:sz w:val="24"/>
                <w:szCs w:val="24"/>
              </w:rPr>
              <w:t>厉婧</w:t>
            </w:r>
            <w:r>
              <w:rPr>
                <w:bCs/>
                <w:sz w:val="24"/>
                <w:szCs w:val="24"/>
              </w:rPr>
              <w:t>,</w:t>
            </w:r>
            <w:r>
              <w:rPr>
                <w:bCs/>
                <w:sz w:val="24"/>
                <w:szCs w:val="24"/>
              </w:rPr>
              <w:t>程聪</w:t>
            </w:r>
            <w:r>
              <w:rPr>
                <w:bCs/>
                <w:sz w:val="24"/>
                <w:szCs w:val="24"/>
              </w:rPr>
              <w:t>,</w:t>
            </w:r>
            <w:r>
              <w:rPr>
                <w:rFonts w:hint="eastAsia"/>
                <w:bCs/>
                <w:sz w:val="24"/>
                <w:szCs w:val="24"/>
              </w:rPr>
              <w:t>戎珂</w:t>
            </w:r>
            <w:r>
              <w:rPr>
                <w:bCs/>
                <w:sz w:val="24"/>
                <w:szCs w:val="24"/>
              </w:rPr>
              <w:t>等</w:t>
            </w:r>
            <w:r>
              <w:rPr>
                <w:bCs/>
                <w:sz w:val="24"/>
                <w:szCs w:val="24"/>
              </w:rPr>
              <w:t>.</w:t>
            </w:r>
            <w:r>
              <w:rPr>
                <w:bCs/>
                <w:sz w:val="24"/>
                <w:szCs w:val="24"/>
              </w:rPr>
              <w:t>海外创新生态系统的组织合法性动态获取研究</w:t>
            </w:r>
            <w:r>
              <w:rPr>
                <w:bCs/>
                <w:sz w:val="24"/>
                <w:szCs w:val="24"/>
              </w:rPr>
              <w:t>——</w:t>
            </w:r>
            <w:r>
              <w:rPr>
                <w:bCs/>
                <w:sz w:val="24"/>
                <w:szCs w:val="24"/>
              </w:rPr>
              <w:t>以</w:t>
            </w:r>
            <w:r>
              <w:rPr>
                <w:bCs/>
                <w:sz w:val="24"/>
                <w:szCs w:val="24"/>
              </w:rPr>
              <w:t>“</w:t>
            </w:r>
            <w:r>
              <w:rPr>
                <w:bCs/>
                <w:sz w:val="24"/>
                <w:szCs w:val="24"/>
              </w:rPr>
              <w:t>一带一路</w:t>
            </w:r>
            <w:r>
              <w:rPr>
                <w:bCs/>
                <w:sz w:val="24"/>
                <w:szCs w:val="24"/>
              </w:rPr>
              <w:t>”</w:t>
            </w:r>
            <w:r>
              <w:rPr>
                <w:bCs/>
                <w:sz w:val="24"/>
                <w:szCs w:val="24"/>
              </w:rPr>
              <w:t>海外园区领军企业为例</w:t>
            </w:r>
            <w:r>
              <w:rPr>
                <w:bCs/>
                <w:sz w:val="24"/>
                <w:szCs w:val="24"/>
              </w:rPr>
              <w:t>[J].</w:t>
            </w:r>
            <w:r>
              <w:rPr>
                <w:bCs/>
                <w:sz w:val="24"/>
                <w:szCs w:val="24"/>
              </w:rPr>
              <w:t>管理世界</w:t>
            </w:r>
            <w:r>
              <w:rPr>
                <w:bCs/>
                <w:sz w:val="24"/>
                <w:szCs w:val="24"/>
              </w:rPr>
              <w:t>,2021,37(08):161-180.</w:t>
            </w:r>
          </w:p>
          <w:p w:rsidR="006E1654" w:rsidRDefault="005C695A">
            <w:pPr>
              <w:numPr>
                <w:ilvl w:val="0"/>
                <w:numId w:val="1"/>
              </w:numPr>
              <w:spacing w:after="0" w:line="240" w:lineRule="auto"/>
              <w:rPr>
                <w:bCs/>
                <w:sz w:val="24"/>
                <w:szCs w:val="24"/>
              </w:rPr>
            </w:pPr>
            <w:r>
              <w:rPr>
                <w:bCs/>
                <w:sz w:val="24"/>
                <w:szCs w:val="24"/>
              </w:rPr>
              <w:t>王节祥</w:t>
            </w:r>
            <w:r>
              <w:rPr>
                <w:bCs/>
                <w:sz w:val="24"/>
                <w:szCs w:val="24"/>
              </w:rPr>
              <w:t>,</w:t>
            </w:r>
            <w:r>
              <w:rPr>
                <w:bCs/>
                <w:sz w:val="24"/>
                <w:szCs w:val="24"/>
              </w:rPr>
              <w:t>陈威如</w:t>
            </w:r>
            <w:r>
              <w:rPr>
                <w:bCs/>
                <w:sz w:val="24"/>
                <w:szCs w:val="24"/>
              </w:rPr>
              <w:t>,</w:t>
            </w:r>
            <w:r>
              <w:rPr>
                <w:bCs/>
                <w:sz w:val="24"/>
                <w:szCs w:val="24"/>
              </w:rPr>
              <w:t>龚奕潼</w:t>
            </w:r>
            <w:r>
              <w:rPr>
                <w:bCs/>
                <w:sz w:val="24"/>
                <w:szCs w:val="24"/>
              </w:rPr>
              <w:t>,</w:t>
            </w:r>
            <w:r>
              <w:rPr>
                <w:b/>
                <w:sz w:val="24"/>
                <w:szCs w:val="24"/>
              </w:rPr>
              <w:t>陈衍泰</w:t>
            </w:r>
            <w:r>
              <w:rPr>
                <w:bCs/>
                <w:sz w:val="24"/>
                <w:szCs w:val="24"/>
              </w:rPr>
              <w:t>.</w:t>
            </w:r>
            <w:r>
              <w:rPr>
                <w:bCs/>
                <w:sz w:val="24"/>
                <w:szCs w:val="24"/>
              </w:rPr>
              <w:t>工业互联网平台构建中如何应对</w:t>
            </w:r>
            <w:r>
              <w:rPr>
                <w:bCs/>
                <w:sz w:val="24"/>
                <w:szCs w:val="24"/>
              </w:rPr>
              <w:t>“</w:t>
            </w:r>
            <w:r>
              <w:rPr>
                <w:bCs/>
                <w:sz w:val="24"/>
                <w:szCs w:val="24"/>
              </w:rPr>
              <w:t>个性与共性</w:t>
            </w:r>
            <w:r>
              <w:rPr>
                <w:bCs/>
                <w:sz w:val="24"/>
                <w:szCs w:val="24"/>
              </w:rPr>
              <w:t>”</w:t>
            </w:r>
            <w:r>
              <w:rPr>
                <w:bCs/>
                <w:sz w:val="24"/>
                <w:szCs w:val="24"/>
              </w:rPr>
              <w:t>矛盾？</w:t>
            </w:r>
            <w:r>
              <w:rPr>
                <w:bCs/>
                <w:sz w:val="24"/>
                <w:szCs w:val="24"/>
              </w:rPr>
              <w:t>——</w:t>
            </w:r>
            <w:r>
              <w:rPr>
                <w:bCs/>
                <w:sz w:val="24"/>
                <w:szCs w:val="24"/>
              </w:rPr>
              <w:t>基于树根互联的案例研究</w:t>
            </w:r>
            <w:r>
              <w:rPr>
                <w:bCs/>
                <w:sz w:val="24"/>
                <w:szCs w:val="24"/>
              </w:rPr>
              <w:t>[J].</w:t>
            </w:r>
            <w:r>
              <w:rPr>
                <w:bCs/>
                <w:sz w:val="24"/>
                <w:szCs w:val="24"/>
              </w:rPr>
              <w:t>管理世界</w:t>
            </w:r>
            <w:r>
              <w:rPr>
                <w:bCs/>
                <w:sz w:val="24"/>
                <w:szCs w:val="24"/>
              </w:rPr>
              <w:t>,2024,40(01):155-180.</w:t>
            </w:r>
          </w:p>
          <w:p w:rsidR="006E1654" w:rsidRDefault="005C695A">
            <w:pPr>
              <w:numPr>
                <w:ilvl w:val="0"/>
                <w:numId w:val="1"/>
              </w:numPr>
              <w:spacing w:after="0" w:line="240" w:lineRule="auto"/>
              <w:rPr>
                <w:bCs/>
                <w:sz w:val="24"/>
                <w:szCs w:val="24"/>
              </w:rPr>
            </w:pPr>
            <w:r>
              <w:rPr>
                <w:bCs/>
                <w:sz w:val="24"/>
                <w:szCs w:val="24"/>
              </w:rPr>
              <w:t>罗海贝</w:t>
            </w:r>
            <w:r>
              <w:rPr>
                <w:bCs/>
                <w:sz w:val="24"/>
                <w:szCs w:val="24"/>
              </w:rPr>
              <w:t>,</w:t>
            </w:r>
            <w:r>
              <w:rPr>
                <w:b/>
                <w:sz w:val="24"/>
                <w:szCs w:val="24"/>
              </w:rPr>
              <w:t>陈衍泰</w:t>
            </w:r>
            <w:r>
              <w:rPr>
                <w:bCs/>
                <w:sz w:val="24"/>
                <w:szCs w:val="24"/>
              </w:rPr>
              <w:t>.</w:t>
            </w:r>
            <w:r>
              <w:rPr>
                <w:bCs/>
                <w:sz w:val="24"/>
                <w:szCs w:val="24"/>
              </w:rPr>
              <w:t>数据资源投资中动态能力的演化路径探析</w:t>
            </w:r>
            <w:r>
              <w:rPr>
                <w:bCs/>
                <w:sz w:val="24"/>
                <w:szCs w:val="24"/>
              </w:rPr>
              <w:t>——</w:t>
            </w:r>
            <w:r>
              <w:rPr>
                <w:bCs/>
                <w:sz w:val="24"/>
                <w:szCs w:val="24"/>
              </w:rPr>
              <w:t>基于实物期权逻辑和资源编排理论的双重视角</w:t>
            </w:r>
            <w:r>
              <w:rPr>
                <w:bCs/>
                <w:sz w:val="24"/>
                <w:szCs w:val="24"/>
              </w:rPr>
              <w:t>[J].</w:t>
            </w:r>
            <w:r>
              <w:rPr>
                <w:bCs/>
                <w:sz w:val="24"/>
                <w:szCs w:val="24"/>
              </w:rPr>
              <w:t>南开管理评论</w:t>
            </w:r>
            <w:r>
              <w:rPr>
                <w:bCs/>
                <w:sz w:val="24"/>
                <w:szCs w:val="24"/>
              </w:rPr>
              <w:t>,2025,28(08):99-110.</w:t>
            </w:r>
          </w:p>
          <w:p w:rsidR="006E1654" w:rsidRDefault="005C695A">
            <w:pPr>
              <w:numPr>
                <w:ilvl w:val="0"/>
                <w:numId w:val="1"/>
              </w:numPr>
              <w:spacing w:after="0" w:line="240" w:lineRule="auto"/>
              <w:rPr>
                <w:bCs/>
                <w:sz w:val="24"/>
                <w:szCs w:val="24"/>
              </w:rPr>
            </w:pPr>
            <w:r>
              <w:rPr>
                <w:bCs/>
                <w:sz w:val="24"/>
                <w:szCs w:val="24"/>
              </w:rPr>
              <w:t>应倩滢</w:t>
            </w:r>
            <w:r>
              <w:rPr>
                <w:bCs/>
                <w:sz w:val="24"/>
                <w:szCs w:val="24"/>
              </w:rPr>
              <w:t>,</w:t>
            </w:r>
            <w:r>
              <w:rPr>
                <w:b/>
                <w:sz w:val="24"/>
                <w:szCs w:val="24"/>
              </w:rPr>
              <w:t>陈衍泰</w:t>
            </w:r>
            <w:r>
              <w:rPr>
                <w:bCs/>
                <w:sz w:val="24"/>
                <w:szCs w:val="24"/>
              </w:rPr>
              <w:t>.</w:t>
            </w:r>
            <w:r>
              <w:rPr>
                <w:bCs/>
                <w:sz w:val="24"/>
                <w:szCs w:val="24"/>
              </w:rPr>
              <w:t>数字化新情境下高管认知对产品创</w:t>
            </w:r>
            <w:r>
              <w:rPr>
                <w:bCs/>
                <w:sz w:val="24"/>
                <w:szCs w:val="24"/>
              </w:rPr>
              <w:t>新的影响</w:t>
            </w:r>
            <w:r>
              <w:rPr>
                <w:bCs/>
                <w:sz w:val="24"/>
                <w:szCs w:val="24"/>
              </w:rPr>
              <w:t>[J].</w:t>
            </w:r>
            <w:r>
              <w:rPr>
                <w:bCs/>
                <w:sz w:val="24"/>
                <w:szCs w:val="24"/>
              </w:rPr>
              <w:t>科研管理</w:t>
            </w:r>
            <w:r>
              <w:rPr>
                <w:bCs/>
                <w:sz w:val="24"/>
                <w:szCs w:val="24"/>
              </w:rPr>
              <w:t>,2023,44(03):167-178.</w:t>
            </w:r>
          </w:p>
          <w:p w:rsidR="006E1654" w:rsidRDefault="005C695A">
            <w:pPr>
              <w:numPr>
                <w:ilvl w:val="0"/>
                <w:numId w:val="1"/>
              </w:numPr>
              <w:spacing w:after="0" w:line="240" w:lineRule="auto"/>
              <w:rPr>
                <w:bCs/>
                <w:sz w:val="24"/>
                <w:szCs w:val="24"/>
              </w:rPr>
            </w:pPr>
            <w:r>
              <w:rPr>
                <w:bCs/>
                <w:sz w:val="24"/>
                <w:szCs w:val="24"/>
              </w:rPr>
              <w:t>杨主恩</w:t>
            </w:r>
            <w:r>
              <w:rPr>
                <w:bCs/>
                <w:sz w:val="24"/>
                <w:szCs w:val="24"/>
              </w:rPr>
              <w:t>,</w:t>
            </w:r>
            <w:r>
              <w:rPr>
                <w:b/>
                <w:sz w:val="24"/>
                <w:szCs w:val="24"/>
              </w:rPr>
              <w:t>陈衍泰</w:t>
            </w:r>
            <w:r>
              <w:rPr>
                <w:bCs/>
                <w:sz w:val="24"/>
                <w:szCs w:val="24"/>
              </w:rPr>
              <w:t>.</w:t>
            </w:r>
            <w:r>
              <w:rPr>
                <w:bCs/>
                <w:sz w:val="24"/>
                <w:szCs w:val="24"/>
              </w:rPr>
              <w:t>双元数字创新速度对企业绩效的差异化影响研究：兼论数字知识存量的调节效应</w:t>
            </w:r>
            <w:r>
              <w:rPr>
                <w:bCs/>
                <w:sz w:val="24"/>
                <w:szCs w:val="24"/>
              </w:rPr>
              <w:t>[J/OL].</w:t>
            </w:r>
            <w:r>
              <w:rPr>
                <w:bCs/>
                <w:sz w:val="24"/>
                <w:szCs w:val="24"/>
              </w:rPr>
              <w:t>科研管理</w:t>
            </w:r>
            <w:r>
              <w:rPr>
                <w:bCs/>
                <w:sz w:val="24"/>
                <w:szCs w:val="24"/>
              </w:rPr>
              <w:t>,1-24[2025-12-24].</w:t>
            </w:r>
          </w:p>
          <w:p w:rsidR="006E1654" w:rsidRDefault="005C695A">
            <w:pPr>
              <w:numPr>
                <w:ilvl w:val="0"/>
                <w:numId w:val="1"/>
              </w:numPr>
              <w:spacing w:after="0" w:line="240" w:lineRule="auto"/>
              <w:rPr>
                <w:bCs/>
                <w:sz w:val="24"/>
                <w:szCs w:val="24"/>
              </w:rPr>
            </w:pPr>
            <w:r>
              <w:rPr>
                <w:b/>
                <w:sz w:val="24"/>
                <w:szCs w:val="24"/>
              </w:rPr>
              <w:t>陈衍泰</w:t>
            </w:r>
            <w:r>
              <w:rPr>
                <w:bCs/>
                <w:sz w:val="24"/>
                <w:szCs w:val="24"/>
              </w:rPr>
              <w:t>,</w:t>
            </w:r>
            <w:r>
              <w:rPr>
                <w:bCs/>
                <w:sz w:val="24"/>
                <w:szCs w:val="24"/>
              </w:rPr>
              <w:t>郝亚杰</w:t>
            </w:r>
            <w:r>
              <w:rPr>
                <w:bCs/>
                <w:sz w:val="24"/>
                <w:szCs w:val="24"/>
              </w:rPr>
              <w:t>,</w:t>
            </w:r>
            <w:r>
              <w:rPr>
                <w:bCs/>
                <w:sz w:val="24"/>
                <w:szCs w:val="24"/>
              </w:rPr>
              <w:t>潘大鹏</w:t>
            </w:r>
            <w:r>
              <w:rPr>
                <w:bCs/>
                <w:sz w:val="24"/>
                <w:szCs w:val="24"/>
              </w:rPr>
              <w:t>.</w:t>
            </w:r>
            <w:r>
              <w:rPr>
                <w:bCs/>
                <w:sz w:val="24"/>
                <w:szCs w:val="24"/>
              </w:rPr>
              <w:t>数字化投资驱动企业绿色动态能力发展的路径研究</w:t>
            </w:r>
            <w:r>
              <w:rPr>
                <w:bCs/>
                <w:sz w:val="24"/>
                <w:szCs w:val="24"/>
              </w:rPr>
              <w:t>[J].</w:t>
            </w:r>
            <w:r>
              <w:rPr>
                <w:bCs/>
                <w:sz w:val="24"/>
                <w:szCs w:val="24"/>
              </w:rPr>
              <w:t>科研管理</w:t>
            </w:r>
            <w:r>
              <w:rPr>
                <w:bCs/>
                <w:sz w:val="24"/>
                <w:szCs w:val="24"/>
              </w:rPr>
              <w:t>,2026,47(01):68-79</w:t>
            </w:r>
            <w:r>
              <w:rPr>
                <w:bCs/>
                <w:sz w:val="24"/>
                <w:szCs w:val="24"/>
              </w:rPr>
              <w:t>.</w:t>
            </w:r>
          </w:p>
          <w:p w:rsidR="006E1654" w:rsidRDefault="005C695A">
            <w:pPr>
              <w:numPr>
                <w:ilvl w:val="0"/>
                <w:numId w:val="1"/>
              </w:numPr>
              <w:spacing w:after="0" w:line="240" w:lineRule="auto"/>
              <w:rPr>
                <w:bCs/>
                <w:sz w:val="24"/>
                <w:szCs w:val="24"/>
              </w:rPr>
            </w:pPr>
            <w:r>
              <w:rPr>
                <w:bCs/>
                <w:sz w:val="24"/>
                <w:szCs w:val="24"/>
              </w:rPr>
              <w:t>郭彦琳</w:t>
            </w:r>
            <w:r>
              <w:rPr>
                <w:bCs/>
                <w:sz w:val="24"/>
                <w:szCs w:val="24"/>
              </w:rPr>
              <w:t>,</w:t>
            </w:r>
            <w:r>
              <w:rPr>
                <w:b/>
                <w:sz w:val="24"/>
                <w:szCs w:val="24"/>
              </w:rPr>
              <w:t>陈衍泰</w:t>
            </w:r>
            <w:r>
              <w:rPr>
                <w:bCs/>
                <w:sz w:val="24"/>
                <w:szCs w:val="24"/>
              </w:rPr>
              <w:t>,</w:t>
            </w:r>
            <w:r>
              <w:rPr>
                <w:bCs/>
                <w:sz w:val="24"/>
                <w:szCs w:val="24"/>
              </w:rPr>
              <w:t>孙珂珂</w:t>
            </w:r>
            <w:r>
              <w:rPr>
                <w:bCs/>
                <w:sz w:val="24"/>
                <w:szCs w:val="24"/>
              </w:rPr>
              <w:t>.</w:t>
            </w:r>
            <w:r>
              <w:rPr>
                <w:bCs/>
                <w:sz w:val="24"/>
                <w:szCs w:val="24"/>
              </w:rPr>
              <w:t>认知计算能力对企业双元创新协同的影响研究</w:t>
            </w:r>
            <w:r>
              <w:rPr>
                <w:bCs/>
                <w:sz w:val="24"/>
                <w:szCs w:val="24"/>
              </w:rPr>
              <w:t>——</w:t>
            </w:r>
            <w:r>
              <w:rPr>
                <w:bCs/>
                <w:sz w:val="24"/>
                <w:szCs w:val="24"/>
              </w:rPr>
              <w:t>基于</w:t>
            </w:r>
            <w:r>
              <w:rPr>
                <w:bCs/>
                <w:sz w:val="24"/>
                <w:szCs w:val="24"/>
              </w:rPr>
              <w:t>“</w:t>
            </w:r>
            <w:r>
              <w:rPr>
                <w:bCs/>
                <w:sz w:val="24"/>
                <w:szCs w:val="24"/>
              </w:rPr>
              <w:t>机智</w:t>
            </w:r>
            <w:r>
              <w:rPr>
                <w:bCs/>
                <w:sz w:val="24"/>
                <w:szCs w:val="24"/>
              </w:rPr>
              <w:t>”</w:t>
            </w:r>
            <w:r>
              <w:rPr>
                <w:bCs/>
                <w:sz w:val="24"/>
                <w:szCs w:val="24"/>
              </w:rPr>
              <w:t>与</w:t>
            </w:r>
            <w:r>
              <w:rPr>
                <w:bCs/>
                <w:sz w:val="24"/>
                <w:szCs w:val="24"/>
              </w:rPr>
              <w:t>“</w:t>
            </w:r>
            <w:r>
              <w:rPr>
                <w:bCs/>
                <w:sz w:val="24"/>
                <w:szCs w:val="24"/>
              </w:rPr>
              <w:t>人智</w:t>
            </w:r>
            <w:r>
              <w:rPr>
                <w:bCs/>
                <w:sz w:val="24"/>
                <w:szCs w:val="24"/>
              </w:rPr>
              <w:t>”</w:t>
            </w:r>
            <w:r>
              <w:rPr>
                <w:bCs/>
                <w:sz w:val="24"/>
                <w:szCs w:val="24"/>
              </w:rPr>
              <w:t>双视角</w:t>
            </w:r>
            <w:r>
              <w:rPr>
                <w:bCs/>
                <w:sz w:val="24"/>
                <w:szCs w:val="24"/>
              </w:rPr>
              <w:t>[J/OL].</w:t>
            </w:r>
            <w:r>
              <w:rPr>
                <w:bCs/>
                <w:sz w:val="24"/>
                <w:szCs w:val="24"/>
              </w:rPr>
              <w:t>科研管理</w:t>
            </w:r>
            <w:r>
              <w:rPr>
                <w:bCs/>
                <w:sz w:val="24"/>
                <w:szCs w:val="24"/>
              </w:rPr>
              <w:t>,1-13[2026-04-27].</w:t>
            </w:r>
          </w:p>
          <w:p w:rsidR="006E1654" w:rsidRDefault="005C695A">
            <w:pPr>
              <w:numPr>
                <w:ilvl w:val="0"/>
                <w:numId w:val="1"/>
              </w:numPr>
              <w:spacing w:after="0" w:line="240" w:lineRule="auto"/>
              <w:rPr>
                <w:bCs/>
                <w:sz w:val="24"/>
                <w:szCs w:val="24"/>
              </w:rPr>
            </w:pPr>
            <w:r>
              <w:rPr>
                <w:bCs/>
                <w:sz w:val="24"/>
                <w:szCs w:val="24"/>
              </w:rPr>
              <w:t xml:space="preserve">Ko W W, </w:t>
            </w:r>
            <w:r>
              <w:rPr>
                <w:b/>
                <w:sz w:val="24"/>
                <w:szCs w:val="24"/>
              </w:rPr>
              <w:t>C</w:t>
            </w:r>
            <w:r>
              <w:rPr>
                <w:b/>
                <w:sz w:val="24"/>
                <w:szCs w:val="24"/>
              </w:rPr>
              <w:t>hen Y,</w:t>
            </w:r>
            <w:r>
              <w:rPr>
                <w:bCs/>
                <w:sz w:val="24"/>
                <w:szCs w:val="24"/>
              </w:rPr>
              <w:t xml:space="preserve"> Chen C H S, et al. Proactive environmental strategy, foreign institutional pressures, and internationalization of Chinese SMEs[J]. Journal of World Business, 2021, 56(6): 101247.</w:t>
            </w:r>
          </w:p>
          <w:p w:rsidR="006E1654" w:rsidRDefault="005C695A">
            <w:pPr>
              <w:numPr>
                <w:ilvl w:val="0"/>
                <w:numId w:val="1"/>
              </w:numPr>
              <w:spacing w:after="0" w:line="240" w:lineRule="auto"/>
              <w:rPr>
                <w:bCs/>
                <w:sz w:val="24"/>
                <w:szCs w:val="24"/>
              </w:rPr>
            </w:pPr>
            <w:r>
              <w:rPr>
                <w:bCs/>
                <w:sz w:val="24"/>
                <w:szCs w:val="24"/>
              </w:rPr>
              <w:t xml:space="preserve">Liu G, </w:t>
            </w:r>
            <w:r>
              <w:rPr>
                <w:b/>
                <w:sz w:val="24"/>
                <w:szCs w:val="24"/>
              </w:rPr>
              <w:t>Chen Y,</w:t>
            </w:r>
            <w:r>
              <w:rPr>
                <w:bCs/>
                <w:sz w:val="24"/>
                <w:szCs w:val="24"/>
              </w:rPr>
              <w:t xml:space="preserve"> Ko W W. Justice and Contracts as Double‐Edged Swords: C</w:t>
            </w:r>
            <w:r>
              <w:rPr>
                <w:bCs/>
                <w:sz w:val="24"/>
                <w:szCs w:val="24"/>
              </w:rPr>
              <w:t>ollaborative Product Innovation in Hub‐and‐Spoke Supply Chain Networks[J]. Journal of Supply Chain Management, 2025, 61(2): 13-32.</w:t>
            </w:r>
          </w:p>
          <w:p w:rsidR="006E1654" w:rsidRDefault="005C695A">
            <w:pPr>
              <w:numPr>
                <w:ilvl w:val="0"/>
                <w:numId w:val="1"/>
              </w:numPr>
              <w:spacing w:after="0" w:line="240" w:lineRule="auto"/>
              <w:rPr>
                <w:rFonts w:ascii="宋体" w:hAnsi="宋体" w:cs="宋体"/>
                <w:bCs/>
                <w:sz w:val="24"/>
                <w:szCs w:val="24"/>
              </w:rPr>
            </w:pPr>
            <w:r>
              <w:rPr>
                <w:b/>
                <w:sz w:val="24"/>
                <w:szCs w:val="24"/>
              </w:rPr>
              <w:t>Chen Y</w:t>
            </w:r>
            <w:r>
              <w:rPr>
                <w:bCs/>
                <w:sz w:val="24"/>
                <w:szCs w:val="24"/>
              </w:rPr>
              <w:t>, Luo H, Chen J, et al. Building data-driven dynamic capabilities to arrest knowledge hiding: A knowledge management pe</w:t>
            </w:r>
            <w:r>
              <w:rPr>
                <w:bCs/>
                <w:sz w:val="24"/>
                <w:szCs w:val="24"/>
              </w:rPr>
              <w:t xml:space="preserve">rspective[J]. Journal of Business Research, </w:t>
            </w:r>
            <w:r>
              <w:rPr>
                <w:bCs/>
                <w:sz w:val="24"/>
                <w:szCs w:val="24"/>
              </w:rPr>
              <w:lastRenderedPageBreak/>
              <w:t>2022, 139: 1138-1154.</w:t>
            </w:r>
          </w:p>
        </w:tc>
      </w:tr>
      <w:tr w:rsidR="006E1654">
        <w:trPr>
          <w:trHeight w:val="1958"/>
        </w:trPr>
        <w:tc>
          <w:tcPr>
            <w:tcW w:w="2269" w:type="dxa"/>
            <w:tcBorders>
              <w:right w:val="single" w:sz="4" w:space="0" w:color="auto"/>
            </w:tcBorders>
            <w:vAlign w:val="center"/>
          </w:tcPr>
          <w:p w:rsidR="006E1654" w:rsidRDefault="005C695A">
            <w:pPr>
              <w:spacing w:line="440" w:lineRule="exact"/>
              <w:jc w:val="center"/>
              <w:rPr>
                <w:rFonts w:eastAsia="仿宋_GB2312"/>
                <w:bCs/>
                <w:sz w:val="28"/>
                <w:szCs w:val="24"/>
              </w:rPr>
            </w:pPr>
            <w:r>
              <w:rPr>
                <w:rFonts w:eastAsia="仿宋_GB2312"/>
                <w:bCs/>
                <w:sz w:val="28"/>
                <w:szCs w:val="24"/>
              </w:rPr>
              <w:lastRenderedPageBreak/>
              <w:t>主要完成人</w:t>
            </w:r>
          </w:p>
        </w:tc>
        <w:tc>
          <w:tcPr>
            <w:tcW w:w="6237" w:type="dxa"/>
            <w:tcBorders>
              <w:left w:val="single" w:sz="4" w:space="0" w:color="auto"/>
            </w:tcBorders>
            <w:vAlign w:val="center"/>
          </w:tcPr>
          <w:p w:rsidR="006E1654" w:rsidRDefault="005C695A">
            <w:pPr>
              <w:spacing w:after="0" w:line="240" w:lineRule="auto"/>
              <w:rPr>
                <w:rFonts w:ascii="宋体" w:hAnsi="宋体" w:cs="宋体"/>
                <w:bCs/>
                <w:sz w:val="24"/>
                <w:szCs w:val="24"/>
              </w:rPr>
            </w:pPr>
            <w:r>
              <w:rPr>
                <w:rFonts w:ascii="宋体" w:hAnsi="宋体" w:cs="宋体" w:hint="eastAsia"/>
                <w:bCs/>
                <w:sz w:val="24"/>
                <w:szCs w:val="24"/>
              </w:rPr>
              <w:t>陈衍泰</w:t>
            </w:r>
            <w:r>
              <w:rPr>
                <w:rFonts w:ascii="宋体" w:hAnsi="宋体" w:cs="宋体" w:hint="eastAsia"/>
                <w:bCs/>
                <w:sz w:val="24"/>
                <w:szCs w:val="24"/>
              </w:rPr>
              <w:t>，排名</w:t>
            </w:r>
            <w:r>
              <w:rPr>
                <w:rFonts w:ascii="宋体" w:hAnsi="宋体" w:cs="宋体" w:hint="eastAsia"/>
                <w:bCs/>
                <w:sz w:val="24"/>
                <w:szCs w:val="24"/>
              </w:rPr>
              <w:t>1</w:t>
            </w:r>
            <w:r>
              <w:rPr>
                <w:rFonts w:ascii="宋体" w:hAnsi="宋体" w:cs="宋体" w:hint="eastAsia"/>
                <w:bCs/>
                <w:sz w:val="24"/>
                <w:szCs w:val="24"/>
              </w:rPr>
              <w:t>，</w:t>
            </w:r>
            <w:r>
              <w:rPr>
                <w:rFonts w:ascii="宋体" w:hAnsi="宋体" w:cs="宋体" w:hint="eastAsia"/>
                <w:bCs/>
                <w:sz w:val="24"/>
                <w:szCs w:val="24"/>
              </w:rPr>
              <w:t>正高</w:t>
            </w:r>
            <w:r>
              <w:rPr>
                <w:rFonts w:ascii="宋体" w:hAnsi="宋体" w:cs="宋体" w:hint="eastAsia"/>
                <w:bCs/>
                <w:sz w:val="24"/>
                <w:szCs w:val="24"/>
              </w:rPr>
              <w:t>，</w:t>
            </w:r>
            <w:r>
              <w:rPr>
                <w:rFonts w:ascii="宋体" w:hAnsi="宋体" w:cs="宋体" w:hint="eastAsia"/>
                <w:bCs/>
                <w:sz w:val="24"/>
                <w:szCs w:val="24"/>
              </w:rPr>
              <w:t>浙江财经大学</w:t>
            </w:r>
          </w:p>
          <w:p w:rsidR="006E1654" w:rsidRDefault="005C695A">
            <w:pPr>
              <w:spacing w:after="0" w:line="240" w:lineRule="auto"/>
              <w:rPr>
                <w:rFonts w:ascii="宋体" w:hAnsi="宋体" w:cs="宋体"/>
                <w:bCs/>
                <w:sz w:val="24"/>
                <w:szCs w:val="24"/>
              </w:rPr>
            </w:pPr>
            <w:r>
              <w:rPr>
                <w:rFonts w:ascii="宋体" w:hAnsi="宋体" w:cs="宋体" w:hint="eastAsia"/>
                <w:bCs/>
                <w:sz w:val="24"/>
                <w:szCs w:val="24"/>
              </w:rPr>
              <w:t>厉</w:t>
            </w:r>
            <w:r>
              <w:rPr>
                <w:rFonts w:ascii="宋体" w:hAnsi="宋体" w:cs="宋体" w:hint="eastAsia"/>
                <w:bCs/>
                <w:sz w:val="24"/>
                <w:szCs w:val="24"/>
              </w:rPr>
              <w:t xml:space="preserve">  </w:t>
            </w:r>
            <w:r>
              <w:rPr>
                <w:rFonts w:ascii="宋体" w:hAnsi="宋体" w:cs="宋体" w:hint="eastAsia"/>
                <w:bCs/>
                <w:sz w:val="24"/>
                <w:szCs w:val="24"/>
              </w:rPr>
              <w:t>婧</w:t>
            </w:r>
            <w:r>
              <w:rPr>
                <w:rFonts w:ascii="宋体" w:hAnsi="宋体" w:cs="宋体" w:hint="eastAsia"/>
                <w:bCs/>
                <w:sz w:val="24"/>
                <w:szCs w:val="24"/>
              </w:rPr>
              <w:t>，排名</w:t>
            </w:r>
            <w:r>
              <w:rPr>
                <w:rFonts w:ascii="宋体" w:hAnsi="宋体" w:cs="宋体" w:hint="eastAsia"/>
                <w:bCs/>
                <w:sz w:val="24"/>
                <w:szCs w:val="24"/>
              </w:rPr>
              <w:t>2</w:t>
            </w:r>
            <w:r>
              <w:rPr>
                <w:rFonts w:ascii="宋体" w:hAnsi="宋体" w:cs="宋体" w:hint="eastAsia"/>
                <w:bCs/>
                <w:sz w:val="24"/>
                <w:szCs w:val="24"/>
              </w:rPr>
              <w:t>，</w:t>
            </w:r>
            <w:r>
              <w:rPr>
                <w:rFonts w:ascii="宋体" w:hAnsi="宋体" w:cs="宋体" w:hint="eastAsia"/>
                <w:bCs/>
                <w:sz w:val="24"/>
                <w:szCs w:val="24"/>
              </w:rPr>
              <w:t>副高</w:t>
            </w:r>
            <w:r>
              <w:rPr>
                <w:rFonts w:ascii="宋体" w:hAnsi="宋体" w:cs="宋体" w:hint="eastAsia"/>
                <w:bCs/>
                <w:sz w:val="24"/>
                <w:szCs w:val="24"/>
              </w:rPr>
              <w:t>，</w:t>
            </w:r>
            <w:r>
              <w:rPr>
                <w:rFonts w:ascii="宋体" w:hAnsi="宋体" w:cs="宋体" w:hint="eastAsia"/>
                <w:bCs/>
                <w:sz w:val="24"/>
                <w:szCs w:val="24"/>
              </w:rPr>
              <w:t>浙江工商大学</w:t>
            </w:r>
          </w:p>
          <w:p w:rsidR="006E1654" w:rsidRDefault="005C695A">
            <w:pPr>
              <w:spacing w:after="0" w:line="240" w:lineRule="auto"/>
              <w:rPr>
                <w:rFonts w:ascii="宋体" w:hAnsi="宋体" w:cs="宋体"/>
                <w:bCs/>
                <w:sz w:val="24"/>
                <w:szCs w:val="24"/>
              </w:rPr>
            </w:pPr>
            <w:r>
              <w:rPr>
                <w:rFonts w:ascii="宋体" w:hAnsi="宋体" w:cs="宋体" w:hint="eastAsia"/>
                <w:bCs/>
                <w:sz w:val="24"/>
                <w:szCs w:val="24"/>
              </w:rPr>
              <w:t>谢在阳</w:t>
            </w:r>
            <w:r>
              <w:rPr>
                <w:rFonts w:ascii="宋体" w:hAnsi="宋体" w:cs="宋体" w:hint="eastAsia"/>
                <w:bCs/>
                <w:sz w:val="24"/>
                <w:szCs w:val="24"/>
              </w:rPr>
              <w:t>，排名</w:t>
            </w:r>
            <w:r>
              <w:rPr>
                <w:rFonts w:ascii="宋体" w:hAnsi="宋体" w:cs="宋体" w:hint="eastAsia"/>
                <w:bCs/>
                <w:sz w:val="24"/>
                <w:szCs w:val="24"/>
              </w:rPr>
              <w:t>3</w:t>
            </w:r>
            <w:r>
              <w:rPr>
                <w:rFonts w:ascii="宋体" w:hAnsi="宋体" w:cs="宋体" w:hint="eastAsia"/>
                <w:bCs/>
                <w:sz w:val="24"/>
                <w:szCs w:val="24"/>
              </w:rPr>
              <w:t>，</w:t>
            </w:r>
            <w:r>
              <w:rPr>
                <w:rFonts w:ascii="宋体" w:hAnsi="宋体" w:cs="宋体" w:hint="eastAsia"/>
                <w:bCs/>
                <w:sz w:val="24"/>
                <w:szCs w:val="24"/>
              </w:rPr>
              <w:t>副高</w:t>
            </w:r>
            <w:r>
              <w:rPr>
                <w:rFonts w:ascii="宋体" w:hAnsi="宋体" w:cs="宋体" w:hint="eastAsia"/>
                <w:bCs/>
                <w:sz w:val="24"/>
                <w:szCs w:val="24"/>
              </w:rPr>
              <w:t>，</w:t>
            </w:r>
            <w:r>
              <w:rPr>
                <w:rFonts w:ascii="宋体" w:hAnsi="宋体" w:cs="宋体" w:hint="eastAsia"/>
                <w:bCs/>
                <w:sz w:val="24"/>
                <w:szCs w:val="24"/>
              </w:rPr>
              <w:t>浙江工业大学</w:t>
            </w:r>
          </w:p>
          <w:p w:rsidR="006E1654" w:rsidRDefault="005C695A">
            <w:pPr>
              <w:spacing w:after="0" w:line="240" w:lineRule="auto"/>
              <w:rPr>
                <w:rFonts w:ascii="宋体" w:hAnsi="宋体" w:cs="宋体"/>
                <w:bCs/>
                <w:sz w:val="24"/>
                <w:szCs w:val="24"/>
              </w:rPr>
            </w:pPr>
            <w:r>
              <w:rPr>
                <w:rFonts w:ascii="宋体" w:hAnsi="宋体" w:cs="宋体" w:hint="eastAsia"/>
                <w:bCs/>
                <w:sz w:val="24"/>
                <w:szCs w:val="24"/>
              </w:rPr>
              <w:t>郭彦琳</w:t>
            </w:r>
            <w:r>
              <w:rPr>
                <w:rFonts w:ascii="宋体" w:hAnsi="宋体" w:cs="宋体" w:hint="eastAsia"/>
                <w:bCs/>
                <w:sz w:val="24"/>
                <w:szCs w:val="24"/>
              </w:rPr>
              <w:t>，排名</w:t>
            </w:r>
            <w:r>
              <w:rPr>
                <w:rFonts w:ascii="宋体" w:hAnsi="宋体" w:cs="宋体" w:hint="eastAsia"/>
                <w:bCs/>
                <w:sz w:val="24"/>
                <w:szCs w:val="24"/>
              </w:rPr>
              <w:t>4</w:t>
            </w:r>
            <w:r>
              <w:rPr>
                <w:rFonts w:ascii="宋体" w:hAnsi="宋体" w:cs="宋体" w:hint="eastAsia"/>
                <w:bCs/>
                <w:sz w:val="24"/>
                <w:szCs w:val="24"/>
              </w:rPr>
              <w:t>，</w:t>
            </w:r>
            <w:r>
              <w:rPr>
                <w:rFonts w:ascii="宋体" w:hAnsi="宋体" w:cs="宋体" w:hint="eastAsia"/>
                <w:bCs/>
                <w:sz w:val="24"/>
                <w:szCs w:val="24"/>
              </w:rPr>
              <w:t>无</w:t>
            </w:r>
            <w:r>
              <w:rPr>
                <w:rFonts w:ascii="宋体" w:hAnsi="宋体" w:cs="宋体" w:hint="eastAsia"/>
                <w:bCs/>
                <w:sz w:val="24"/>
                <w:szCs w:val="24"/>
              </w:rPr>
              <w:t>，</w:t>
            </w:r>
            <w:r>
              <w:rPr>
                <w:rFonts w:ascii="宋体" w:hAnsi="宋体" w:cs="宋体" w:hint="eastAsia"/>
                <w:bCs/>
                <w:sz w:val="24"/>
                <w:szCs w:val="24"/>
              </w:rPr>
              <w:t xml:space="preserve">  </w:t>
            </w:r>
            <w:r>
              <w:rPr>
                <w:rFonts w:ascii="宋体" w:hAnsi="宋体" w:cs="宋体" w:hint="eastAsia"/>
                <w:bCs/>
                <w:sz w:val="24"/>
                <w:szCs w:val="24"/>
              </w:rPr>
              <w:t>浙江工业大学</w:t>
            </w:r>
          </w:p>
          <w:p w:rsidR="006E1654" w:rsidRDefault="005C695A">
            <w:pPr>
              <w:spacing w:after="0" w:line="240" w:lineRule="auto"/>
              <w:rPr>
                <w:rFonts w:ascii="宋体" w:hAnsi="宋体" w:cs="宋体"/>
                <w:bCs/>
                <w:sz w:val="24"/>
                <w:szCs w:val="24"/>
              </w:rPr>
            </w:pPr>
            <w:r>
              <w:rPr>
                <w:rFonts w:ascii="宋体" w:hAnsi="宋体" w:cs="宋体" w:hint="eastAsia"/>
                <w:bCs/>
                <w:sz w:val="24"/>
                <w:szCs w:val="24"/>
              </w:rPr>
              <w:t>范彦成，排名</w:t>
            </w:r>
            <w:r>
              <w:rPr>
                <w:rFonts w:ascii="宋体" w:hAnsi="宋体" w:cs="宋体" w:hint="eastAsia"/>
                <w:bCs/>
                <w:sz w:val="24"/>
                <w:szCs w:val="24"/>
              </w:rPr>
              <w:t>5</w:t>
            </w:r>
            <w:r>
              <w:rPr>
                <w:rFonts w:ascii="宋体" w:hAnsi="宋体" w:cs="宋体" w:hint="eastAsia"/>
                <w:bCs/>
                <w:sz w:val="24"/>
                <w:szCs w:val="24"/>
              </w:rPr>
              <w:t>，讲师，浙江财经大学</w:t>
            </w:r>
          </w:p>
          <w:p w:rsidR="006E1654" w:rsidRDefault="005C695A">
            <w:pPr>
              <w:spacing w:after="0" w:line="240" w:lineRule="auto"/>
              <w:rPr>
                <w:rFonts w:ascii="宋体" w:hAnsi="宋体" w:cs="宋体"/>
                <w:bCs/>
                <w:sz w:val="24"/>
                <w:szCs w:val="24"/>
              </w:rPr>
            </w:pPr>
            <w:r>
              <w:rPr>
                <w:rFonts w:ascii="宋体" w:hAnsi="宋体" w:cs="宋体" w:hint="eastAsia"/>
                <w:bCs/>
                <w:sz w:val="24"/>
                <w:szCs w:val="24"/>
              </w:rPr>
              <w:t>戎</w:t>
            </w:r>
            <w:r>
              <w:rPr>
                <w:rFonts w:ascii="宋体" w:hAnsi="宋体" w:cs="宋体" w:hint="eastAsia"/>
                <w:bCs/>
                <w:sz w:val="24"/>
                <w:szCs w:val="24"/>
              </w:rPr>
              <w:t xml:space="preserve">  </w:t>
            </w:r>
            <w:r>
              <w:rPr>
                <w:rFonts w:ascii="宋体" w:hAnsi="宋体" w:cs="宋体" w:hint="eastAsia"/>
                <w:bCs/>
                <w:sz w:val="24"/>
                <w:szCs w:val="24"/>
              </w:rPr>
              <w:t>珂，排名</w:t>
            </w:r>
            <w:r>
              <w:rPr>
                <w:rFonts w:ascii="宋体" w:hAnsi="宋体" w:cs="宋体" w:hint="eastAsia"/>
                <w:bCs/>
                <w:sz w:val="24"/>
                <w:szCs w:val="24"/>
              </w:rPr>
              <w:t>6</w:t>
            </w:r>
            <w:r>
              <w:rPr>
                <w:rFonts w:ascii="宋体" w:hAnsi="宋体" w:cs="宋体" w:hint="eastAsia"/>
                <w:bCs/>
                <w:sz w:val="24"/>
                <w:szCs w:val="24"/>
              </w:rPr>
              <w:t>，正高，清华大学</w:t>
            </w:r>
          </w:p>
        </w:tc>
      </w:tr>
      <w:tr w:rsidR="006E1654">
        <w:trPr>
          <w:trHeight w:val="1327"/>
        </w:trPr>
        <w:tc>
          <w:tcPr>
            <w:tcW w:w="2269" w:type="dxa"/>
            <w:tcBorders>
              <w:right w:val="single" w:sz="4" w:space="0" w:color="auto"/>
            </w:tcBorders>
            <w:vAlign w:val="center"/>
          </w:tcPr>
          <w:p w:rsidR="006E1654" w:rsidRDefault="005C695A">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sz="4" w:space="0" w:color="auto"/>
            </w:tcBorders>
            <w:vAlign w:val="center"/>
          </w:tcPr>
          <w:p w:rsidR="006E1654" w:rsidRDefault="005C695A">
            <w:pPr>
              <w:spacing w:after="0" w:line="240" w:lineRule="auto"/>
              <w:jc w:val="left"/>
              <w:rPr>
                <w:rFonts w:ascii="宋体" w:hAnsi="宋体" w:cs="宋体"/>
                <w:bCs/>
                <w:sz w:val="24"/>
                <w:szCs w:val="24"/>
              </w:rPr>
            </w:pPr>
            <w:r>
              <w:rPr>
                <w:rFonts w:ascii="宋体" w:hAnsi="宋体" w:cs="宋体" w:hint="eastAsia"/>
                <w:bCs/>
                <w:sz w:val="24"/>
                <w:szCs w:val="24"/>
              </w:rPr>
              <w:t>1.</w:t>
            </w:r>
            <w:r>
              <w:rPr>
                <w:rFonts w:ascii="宋体" w:hAnsi="宋体" w:cs="宋体" w:hint="eastAsia"/>
                <w:bCs/>
                <w:sz w:val="24"/>
                <w:szCs w:val="24"/>
              </w:rPr>
              <w:t>浙江工商大学</w:t>
            </w:r>
            <w:r>
              <w:rPr>
                <w:rFonts w:ascii="宋体" w:hAnsi="宋体" w:cs="宋体" w:hint="eastAsia"/>
                <w:bCs/>
                <w:sz w:val="24"/>
                <w:szCs w:val="24"/>
              </w:rPr>
              <w:t xml:space="preserve"> 2</w:t>
            </w:r>
            <w:r>
              <w:rPr>
                <w:rFonts w:ascii="宋体" w:hAnsi="宋体" w:cs="宋体"/>
                <w:bCs/>
                <w:sz w:val="24"/>
                <w:szCs w:val="24"/>
              </w:rPr>
              <w:t>.</w:t>
            </w:r>
            <w:r>
              <w:rPr>
                <w:rFonts w:ascii="宋体" w:hAnsi="宋体" w:cs="宋体" w:hint="eastAsia"/>
                <w:bCs/>
                <w:sz w:val="24"/>
                <w:szCs w:val="24"/>
              </w:rPr>
              <w:t>浙江工业大学</w:t>
            </w:r>
            <w:r>
              <w:rPr>
                <w:rFonts w:ascii="宋体" w:hAnsi="宋体" w:cs="宋体" w:hint="eastAsia"/>
                <w:bCs/>
                <w:sz w:val="24"/>
                <w:szCs w:val="24"/>
              </w:rPr>
              <w:t xml:space="preserve"> 3. </w:t>
            </w:r>
            <w:r>
              <w:rPr>
                <w:rFonts w:ascii="宋体" w:hAnsi="宋体" w:cs="宋体" w:hint="eastAsia"/>
                <w:bCs/>
                <w:sz w:val="24"/>
                <w:szCs w:val="24"/>
              </w:rPr>
              <w:t>浙江财经大学</w:t>
            </w:r>
            <w:r>
              <w:rPr>
                <w:rFonts w:ascii="宋体" w:hAnsi="宋体" w:cs="宋体" w:hint="eastAsia"/>
                <w:bCs/>
                <w:sz w:val="24"/>
                <w:szCs w:val="24"/>
              </w:rPr>
              <w:t xml:space="preserve"> 4.</w:t>
            </w:r>
            <w:r>
              <w:rPr>
                <w:rFonts w:ascii="宋体" w:hAnsi="宋体" w:cs="宋体"/>
                <w:bCs/>
                <w:sz w:val="24"/>
                <w:szCs w:val="24"/>
              </w:rPr>
              <w:t>清华大学</w:t>
            </w:r>
            <w:r>
              <w:rPr>
                <w:rFonts w:ascii="宋体" w:hAnsi="宋体" w:cs="宋体"/>
                <w:bCs/>
                <w:sz w:val="24"/>
                <w:szCs w:val="24"/>
              </w:rPr>
              <w:t xml:space="preserve"> </w:t>
            </w:r>
          </w:p>
        </w:tc>
      </w:tr>
      <w:tr w:rsidR="006E1654">
        <w:trPr>
          <w:trHeight w:val="343"/>
        </w:trPr>
        <w:tc>
          <w:tcPr>
            <w:tcW w:w="2269" w:type="dxa"/>
            <w:vAlign w:val="center"/>
          </w:tcPr>
          <w:p w:rsidR="006E1654" w:rsidRDefault="005C695A">
            <w:pPr>
              <w:jc w:val="center"/>
              <w:rPr>
                <w:rStyle w:val="title1"/>
                <w:rFonts w:eastAsia="仿宋_GB2312"/>
                <w:b w:val="0"/>
                <w:color w:val="auto"/>
                <w:sz w:val="28"/>
                <w:szCs w:val="28"/>
              </w:rPr>
            </w:pPr>
            <w:r>
              <w:rPr>
                <w:rStyle w:val="title1"/>
                <w:rFonts w:eastAsia="仿宋_GB2312"/>
                <w:b w:val="0"/>
                <w:color w:val="auto"/>
                <w:sz w:val="28"/>
                <w:szCs w:val="28"/>
              </w:rPr>
              <w:t>提名单位</w:t>
            </w:r>
          </w:p>
        </w:tc>
        <w:tc>
          <w:tcPr>
            <w:tcW w:w="6237" w:type="dxa"/>
            <w:vAlign w:val="center"/>
          </w:tcPr>
          <w:p w:rsidR="006E1654" w:rsidRDefault="005C695A">
            <w:pPr>
              <w:spacing w:after="0" w:line="240" w:lineRule="auto"/>
              <w:contextualSpacing/>
              <w:jc w:val="center"/>
              <w:rPr>
                <w:rStyle w:val="title1"/>
                <w:rFonts w:ascii="宋体" w:hAnsi="宋体" w:cs="宋体"/>
                <w:b w:val="0"/>
                <w:color w:val="auto"/>
              </w:rPr>
            </w:pPr>
            <w:r>
              <w:rPr>
                <w:rStyle w:val="title1"/>
                <w:rFonts w:ascii="宋体" w:hAnsi="宋体" w:cs="宋体" w:hint="eastAsia"/>
                <w:b w:val="0"/>
                <w:color w:val="auto"/>
              </w:rPr>
              <w:t>浙江省教育厅</w:t>
            </w:r>
          </w:p>
        </w:tc>
      </w:tr>
      <w:tr w:rsidR="006E1654">
        <w:trPr>
          <w:trHeight w:val="8259"/>
        </w:trPr>
        <w:tc>
          <w:tcPr>
            <w:tcW w:w="2269" w:type="dxa"/>
            <w:vAlign w:val="center"/>
          </w:tcPr>
          <w:p w:rsidR="006E1654" w:rsidRDefault="005C695A">
            <w:pPr>
              <w:jc w:val="center"/>
              <w:rPr>
                <w:rStyle w:val="title1"/>
                <w:rFonts w:eastAsia="仿宋_GB2312"/>
                <w:b w:val="0"/>
                <w:color w:val="auto"/>
                <w:sz w:val="28"/>
                <w:szCs w:val="28"/>
              </w:rPr>
            </w:pPr>
            <w:r>
              <w:rPr>
                <w:rStyle w:val="title1"/>
                <w:rFonts w:eastAsia="仿宋_GB2312"/>
                <w:b w:val="0"/>
                <w:color w:val="auto"/>
                <w:sz w:val="28"/>
                <w:szCs w:val="28"/>
              </w:rPr>
              <w:t>提名意见</w:t>
            </w:r>
          </w:p>
        </w:tc>
        <w:tc>
          <w:tcPr>
            <w:tcW w:w="6237" w:type="dxa"/>
            <w:vAlign w:val="center"/>
          </w:tcPr>
          <w:p w:rsidR="006E1654" w:rsidRDefault="005C695A">
            <w:pPr>
              <w:spacing w:after="0" w:line="240" w:lineRule="auto"/>
              <w:ind w:firstLineChars="200" w:firstLine="480"/>
              <w:jc w:val="left"/>
              <w:rPr>
                <w:rFonts w:ascii="宋体" w:hAnsi="宋体" w:cs="宋体"/>
                <w:bCs/>
                <w:sz w:val="24"/>
                <w:szCs w:val="24"/>
              </w:rPr>
            </w:pPr>
            <w:r>
              <w:rPr>
                <w:rFonts w:ascii="宋体" w:hAnsi="宋体" w:cs="宋体" w:hint="eastAsia"/>
                <w:bCs/>
                <w:sz w:val="24"/>
                <w:szCs w:val="24"/>
              </w:rPr>
              <w:t>民营企业是浙江经济最鲜明的底色，也是我国推进高水平对外开放、服务“一带一路”高质量发展、构建国内国际双循环新发展格局的重要力量。面对全球产业链供应链深度调整和国际规则加速重塑，浙江民营企业率先开展跨境产能合作、海外创新布局与全球资源整合，形成了具有先行探索意义的实践样本。成果以浙江民营企业为重点，面向全国民营企业高质量“走出去”的共性需求，聚焦模式选择、主体协同、能力构建、治理机制四个核心问题，系统提炼民营企业创新国际化与双循环联动发展的浙江经验，为其他地区提供可复制、可推广的实践方案。</w:t>
            </w:r>
          </w:p>
          <w:p w:rsidR="006E1654" w:rsidRDefault="005C695A">
            <w:pPr>
              <w:spacing w:after="0" w:line="240" w:lineRule="auto"/>
              <w:ind w:firstLineChars="200" w:firstLine="480"/>
              <w:jc w:val="left"/>
              <w:rPr>
                <w:rFonts w:ascii="宋体" w:hAnsi="宋体" w:cs="宋体"/>
                <w:bCs/>
                <w:sz w:val="24"/>
                <w:szCs w:val="24"/>
              </w:rPr>
            </w:pPr>
            <w:r>
              <w:rPr>
                <w:rFonts w:ascii="宋体" w:hAnsi="宋体" w:cs="宋体" w:hint="eastAsia"/>
                <w:bCs/>
                <w:sz w:val="24"/>
                <w:szCs w:val="24"/>
              </w:rPr>
              <w:t>该成果依托国家自然</w:t>
            </w:r>
            <w:r>
              <w:rPr>
                <w:rFonts w:ascii="宋体" w:hAnsi="宋体" w:cs="宋体" w:hint="eastAsia"/>
                <w:bCs/>
                <w:sz w:val="24"/>
                <w:szCs w:val="24"/>
              </w:rPr>
              <w:t>科学基金、教育部重大攻关课题等重要科研项目开展研究，跟踪调研</w:t>
            </w:r>
            <w:r>
              <w:rPr>
                <w:rFonts w:ascii="宋体" w:hAnsi="宋体" w:cs="宋体" w:hint="eastAsia"/>
                <w:bCs/>
                <w:sz w:val="24"/>
                <w:szCs w:val="24"/>
              </w:rPr>
              <w:t>50</w:t>
            </w:r>
            <w:r>
              <w:rPr>
                <w:rFonts w:ascii="宋体" w:hAnsi="宋体" w:cs="宋体" w:hint="eastAsia"/>
                <w:bCs/>
                <w:sz w:val="24"/>
                <w:szCs w:val="24"/>
              </w:rPr>
              <w:t>余家企业，并对</w:t>
            </w:r>
            <w:r>
              <w:rPr>
                <w:rFonts w:ascii="宋体" w:hAnsi="宋体" w:cs="宋体" w:hint="eastAsia"/>
                <w:bCs/>
                <w:sz w:val="24"/>
                <w:szCs w:val="24"/>
              </w:rPr>
              <w:t>15</w:t>
            </w:r>
            <w:r>
              <w:rPr>
                <w:rFonts w:ascii="宋体" w:hAnsi="宋体" w:cs="宋体" w:hint="eastAsia"/>
                <w:bCs/>
                <w:sz w:val="24"/>
                <w:szCs w:val="24"/>
              </w:rPr>
              <w:t>家浙江典型跨国民营企业案例进行深入剖析，构建起具有中国情境解释力与浙江实践辨识度的民营企业国际产能合作理论框架。成果突破了“低成本扩张”“被动嵌入全球价值链”等传统认知，揭示了民营企业作为国际产业链重构、海外创新网络连接及双循环联动发展重要组织者的作用机制，进一步拓展了民营企业国际化、海外创新生态系统、国际动态能力与跨境治理领域的研究边界。</w:t>
            </w:r>
          </w:p>
          <w:p w:rsidR="006E1654" w:rsidRDefault="005C695A">
            <w:pPr>
              <w:spacing w:after="0" w:line="240" w:lineRule="auto"/>
              <w:ind w:firstLineChars="200" w:firstLine="480"/>
              <w:jc w:val="left"/>
              <w:rPr>
                <w:rFonts w:ascii="宋体" w:hAnsi="宋体" w:cs="宋体"/>
                <w:bCs/>
                <w:sz w:val="24"/>
                <w:szCs w:val="24"/>
              </w:rPr>
            </w:pPr>
            <w:r>
              <w:rPr>
                <w:rFonts w:ascii="宋体" w:hAnsi="宋体" w:cs="宋体" w:hint="eastAsia"/>
                <w:bCs/>
                <w:sz w:val="24"/>
                <w:szCs w:val="24"/>
              </w:rPr>
              <w:t>成果具有较强实践价值，能够为政府完善民营企业“走出去”支持体系、优化“一带一路”产能合</w:t>
            </w:r>
            <w:r>
              <w:rPr>
                <w:rFonts w:ascii="宋体" w:hAnsi="宋体" w:cs="宋体" w:hint="eastAsia"/>
                <w:bCs/>
                <w:sz w:val="24"/>
                <w:szCs w:val="24"/>
              </w:rPr>
              <w:t>作政策提供有效参考，也可为企业开展海外进入、资源整合、风险治理和数智化转型提供指引，并通过案例入库、案例出版和企业培训支撑教学和地方开放型经济建设。</w:t>
            </w:r>
          </w:p>
          <w:p w:rsidR="006E1654" w:rsidRDefault="005C695A">
            <w:pPr>
              <w:spacing w:after="0" w:line="240" w:lineRule="auto"/>
              <w:ind w:firstLineChars="200" w:firstLine="480"/>
              <w:jc w:val="left"/>
              <w:rPr>
                <w:rStyle w:val="title1"/>
                <w:rFonts w:ascii="宋体" w:hAnsi="宋体" w:cs="宋体"/>
                <w:b w:val="0"/>
                <w:color w:val="auto"/>
              </w:rPr>
            </w:pPr>
            <w:r>
              <w:rPr>
                <w:rFonts w:ascii="宋体" w:hAnsi="宋体" w:cs="宋体" w:hint="eastAsia"/>
                <w:bCs/>
                <w:sz w:val="24"/>
                <w:szCs w:val="24"/>
              </w:rPr>
              <w:t>提名该成果为省科学技术进步奖二等奖。</w:t>
            </w:r>
          </w:p>
        </w:tc>
      </w:tr>
    </w:tbl>
    <w:p w:rsidR="006E1654" w:rsidRDefault="006E1654"/>
    <w:sectPr w:rsidR="006E16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95A" w:rsidRDefault="005C695A">
      <w:pPr>
        <w:spacing w:line="240" w:lineRule="auto"/>
      </w:pPr>
      <w:r>
        <w:separator/>
      </w:r>
    </w:p>
  </w:endnote>
  <w:endnote w:type="continuationSeparator" w:id="0">
    <w:p w:rsidR="005C695A" w:rsidRDefault="005C69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方正舒体"/>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95A" w:rsidRDefault="005C695A">
      <w:pPr>
        <w:spacing w:after="0"/>
      </w:pPr>
      <w:r>
        <w:separator/>
      </w:r>
    </w:p>
  </w:footnote>
  <w:footnote w:type="continuationSeparator" w:id="0">
    <w:p w:rsidR="005C695A" w:rsidRDefault="005C695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A7993"/>
    <w:multiLevelType w:val="singleLevel"/>
    <w:tmpl w:val="3F4A7993"/>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BE33A6"/>
    <w:rsid w:val="DDDFFFAA"/>
    <w:rsid w:val="00397883"/>
    <w:rsid w:val="005C695A"/>
    <w:rsid w:val="006E1654"/>
    <w:rsid w:val="00AC616A"/>
    <w:rsid w:val="0FBE33A6"/>
    <w:rsid w:val="114408C8"/>
    <w:rsid w:val="17DB1B43"/>
    <w:rsid w:val="18D5267B"/>
    <w:rsid w:val="2BD561F6"/>
    <w:rsid w:val="304814EA"/>
    <w:rsid w:val="33013913"/>
    <w:rsid w:val="4145693B"/>
    <w:rsid w:val="4427089B"/>
    <w:rsid w:val="4D0F4733"/>
    <w:rsid w:val="50652273"/>
    <w:rsid w:val="5E503FB5"/>
    <w:rsid w:val="690F32AE"/>
    <w:rsid w:val="78BFD45F"/>
    <w:rsid w:val="7DFFB8A4"/>
    <w:rsid w:val="7E3278CC"/>
    <w:rsid w:val="97F600A7"/>
    <w:rsid w:val="ADFEE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240EC2A-59A1-4FD1-B4D2-D7CBCDBF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jc w:val="both"/>
    </w:pPr>
    <w:rPr>
      <w:kern w:val="2"/>
      <w:sz w:val="21"/>
    </w:rPr>
  </w:style>
  <w:style w:type="paragraph" w:styleId="2">
    <w:name w:val="heading 2"/>
    <w:basedOn w:val="a"/>
    <w:next w:val="a"/>
    <w:semiHidden/>
    <w:unhideWhenUsed/>
    <w:qFormat/>
    <w:pPr>
      <w:spacing w:beforeAutospacing="1" w:after="0" w:afterAutospacing="1"/>
      <w:jc w:val="left"/>
      <w:outlineLvl w:val="1"/>
    </w:pPr>
    <w:rPr>
      <w:rFonts w:ascii="宋体" w:hAnsi="宋体" w:hint="eastAsia"/>
      <w:b/>
      <w:bCs/>
      <w:kern w:val="0"/>
      <w:sz w:val="36"/>
      <w:szCs w:val="36"/>
    </w:rPr>
  </w:style>
  <w:style w:type="paragraph" w:styleId="3">
    <w:name w:val="heading 3"/>
    <w:basedOn w:val="a"/>
    <w:next w:val="a"/>
    <w:semiHidden/>
    <w:unhideWhenUsed/>
    <w:qFormat/>
    <w:pPr>
      <w:spacing w:beforeAutospacing="1" w:after="0"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spacing w:beforeAutospacing="1" w:after="0" w:afterAutospacing="1"/>
      <w:jc w:val="left"/>
    </w:pPr>
    <w:rPr>
      <w:kern w:val="0"/>
      <w:sz w:val="24"/>
    </w:rPr>
  </w:style>
  <w:style w:type="character" w:customStyle="1" w:styleId="title1">
    <w:name w:val="title1"/>
    <w:qFormat/>
    <w:rPr>
      <w:b/>
      <w:bCs/>
      <w:color w:val="9999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鱼</dc:creator>
  <cp:lastModifiedBy>zhenghm</cp:lastModifiedBy>
  <cp:revision>2</cp:revision>
  <dcterms:created xsi:type="dcterms:W3CDTF">2026-06-11T01:53:00Z</dcterms:created>
  <dcterms:modified xsi:type="dcterms:W3CDTF">2026-06-11T01:53:00Z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9451B9F4C1F74D1E8DC975079AE5529B_13</vt:lpwstr>
  </property>
  <property fmtid="{D5CDD505-2E9C-101B-9397-08002B2CF9AE}" pid="4" name="KSOTemplateDocerSaveRecord">
    <vt:lpwstr>eyJoZGlkIjoiZmU0NmZiOTdiMzA0NDkyMmI3NjhjZmM5YmI2MGFkODAiLCJ1c2VySWQiOiIyMDQzMjM3NSJ9</vt:lpwstr>
  </property>
</Properties>
</file>